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47.png" ContentType="image/png"/>
  <Override PartName="/word/media/rId25.png" ContentType="image/png"/>
  <Override PartName="/word/media/rId52.png" ContentType="image/png"/>
  <Override PartName="/word/media/rId71.png" ContentType="image/png"/>
  <Override PartName="/word/media/rId66.png" ContentType="image/png"/>
  <Override PartName="/word/media/rId61.png" ContentType="image/png"/>
  <Override PartName="/word/media/rId57.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January</w:t>
      </w:r>
      <w:r>
        <w:t xml:space="preserve"> </w:t>
      </w:r>
      <w:r>
        <w:t xml:space="preserve">25,</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over</w:t>
      </w:r>
      <w:r>
        <w:t xml:space="preserve"> </w:t>
      </w:r>
      <w:r>
        <w:t xml:space="preserve">time.</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and</w:t>
      </w:r>
      <w:r>
        <w:t xml:space="preserve"> </w:t>
      </w:r>
      <w:r>
        <w:t xml:space="preserve">then</w:t>
      </w:r>
      <w:r>
        <w:t xml:space="preserve"> </w:t>
      </w:r>
      <w:r>
        <w:t xml:space="preserve">indirect</w:t>
      </w:r>
      <w:r>
        <w:t xml:space="preserve"> </w:t>
      </w:r>
      <w:r>
        <w:t xml:space="preserve">bias</w:t>
      </w:r>
      <w:r>
        <w:t xml:space="preserve"> </w:t>
      </w:r>
      <w:r>
        <w:t xml:space="preserve">was</w:t>
      </w:r>
      <w:r>
        <w:t xml:space="preserve"> </w:t>
      </w:r>
      <w:r>
        <w:t xml:space="preserve">adapted</w:t>
      </w:r>
      <w:r>
        <w:t xml:space="preserve"> </w:t>
      </w:r>
      <w:r>
        <w:t xml:space="preserve">to</w:t>
      </w:r>
      <w:r>
        <w:t xml:space="preserve"> </w:t>
      </w:r>
      <w:r>
        <w:t xml:space="preserve">carry</w:t>
      </w:r>
      <w:r>
        <w:t xml:space="preserve"> </w:t>
      </w:r>
      <w:r>
        <w:t xml:space="preserve">out</w:t>
      </w:r>
      <w:r>
        <w:t xml:space="preserve"> </w:t>
      </w:r>
      <w:r>
        <w:t xml:space="preserve">the</w:t>
      </w:r>
      <w:r>
        <w:t xml:space="preserve"> </w:t>
      </w:r>
      <w:r>
        <w:t xml:space="preserve">technological</w:t>
      </w:r>
      <w:r>
        <w:t xml:space="preserve"> </w:t>
      </w:r>
      <w:r>
        <w:t xml:space="preserve">change.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The primary technological innovation is during this time was the appearance of new tools such as stemmed points and blades. The appearance of these new lithic technologies may represent the first arrival of modern humans in this region, and so they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cultural processes and social contexts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have implications for determining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the technological transitions during the Late Paleolithic in Korea have mainly focused on the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In contrast, 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in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the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they found that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of weight, thickness, width and lengths on two types of projectile points, Washita and Fresno points, from the Henderson site. She then computed simulated CV values according to three scenarios of different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1"/>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This trial and error behavior is expected to have left a distinctive signature on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other groups. Relatively high degrees of social connectivity provide frequent opportunities for observing others and acquiring information. Individuals or groups learned the technology of stemmed points by copying a model from another individual or group. In this scenario, the model, or ideal, stemmed point is likely to have been a highly successful and frequently chosen one, and learners copy all information about the point design as a package (cf. Bae’s migration model).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show less variance between and within them.</w:t>
      </w:r>
    </w:p>
    <w:bookmarkEnd w:id="24"/>
    <w:bookmarkStart w:id="42" w:name="materials-and-methods"/>
    <w:p>
      <w:pPr>
        <w:pStyle w:val="Heading1"/>
      </w:pPr>
      <w:r>
        <w:t xml:space="preserve">Materials and methods</w:t>
      </w:r>
    </w:p>
    <w:bookmarkStart w:id="35"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around 300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built on radiocarbon ages, and for sites without any, the presence/absence of blades, stemmed point blanks, and toolkit composition. Based on the existence of blade and micro blade and types of stemmed point blanks, we divided the Late Paleolithic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dates due to various research limitations. Inferring ages for these sites by analogy to the technological sequences at sites with dates is important for making maximal use of the available archaeological data to increase our sample size. We arranged our assemblages containing stemmed points in into these three phases to facilitate observations of change over time.</w:t>
      </w:r>
    </w:p>
    <w:bookmarkStart w:id="30" w:name="tbl-korean-chronology"/>
    <w:p>
      <w:pPr>
        <w:pStyle w:val="TableCaption"/>
      </w:pPr>
      <w:r>
        <w:t xml:space="preserve">Table 2: Korean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of the small sample size. Shale is the dominant raw material in both phase 2 and 3. In phase 3 there is an increase in the proportions of rhyolite and porphyry, driven largely by finds from Wolpyeng and Yongsangdong. Panel B in</w:t>
      </w:r>
      <w:r>
        <w:t xml:space="preserve"> </w:t>
      </w:r>
      <w:hyperlink w:anchor="fig-raw-materials-by-phase">
        <w:r>
          <w:rPr>
            <w:rStyle w:val="Hyperlink"/>
          </w:rPr>
          <w:t xml:space="preserve">Figure 2</w:t>
        </w:r>
      </w:hyperlink>
      <w:r>
        <w:t xml:space="preserve"> </w:t>
      </w:r>
      <w:r>
        <w:t xml:space="preserve">shows the count of stemmed points by raw material type at assemblages with more than five stemmed points. Much of the raw material diversity comes from isolated finds, with those assemblages with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ethods"/>
    <w:p>
      <w:pPr>
        <w:pStyle w:val="Heading2"/>
      </w:pPr>
      <w:r>
        <w:t xml:space="preserve">Methods</w:t>
      </w:r>
    </w:p>
    <w:p>
      <w:pPr>
        <w:pStyle w:val="FirstParagraph"/>
      </w:pPr>
      <w:r>
        <w:t xml:space="preserve">Similar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morphological attributes on the stemmed points to examine variations in shape and the relationship between each attribute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We used the point tool in ImageJ</w:t>
      </w:r>
      <w:r>
        <w:t xml:space="preserve"> </w:t>
      </w:r>
      <w:r>
        <w:t xml:space="preserve">(Schneider et al., 2012)</w:t>
      </w:r>
      <w:r>
        <w:t xml:space="preserve"> </w:t>
      </w:r>
      <w:r>
        <w:t xml:space="preserve">to capture the landmarks from images of the artifacts, and export them as XY coordinate data for current and further analyses.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coefficients for all measurements of the seven attributes that we measured on the stemmed points. The correlation of artifact attributes was proposed by</w:t>
      </w:r>
      <w:r>
        <w:t xml:space="preserve"> </w:t>
      </w:r>
      <w:r>
        <w:t xml:space="preserve">Bettinger and Eerkens (1999)</w:t>
      </w:r>
      <w:r>
        <w:t xml:space="preserve"> </w:t>
      </w:r>
      <w:r>
        <w:t xml:space="preserve">to be a key indicator of indirect bias during cultural transmission. This is based on the assumption that assumed that artifact-making was transmitted in packages of traits taken from socially successful individuals who were role-models. In their work points from Eastern California and Central Nevada,</w:t>
      </w:r>
      <w:r>
        <w:t xml:space="preserve"> </w:t>
      </w:r>
      <w:r>
        <w:t xml:space="preserve">Bettinger and Eerkens (1999)</w:t>
      </w:r>
      <w:r>
        <w:t xml:space="preserve"> </w:t>
      </w:r>
      <w:r>
        <w:t xml:space="preserve">interpreted correlation coefficient values of around 0.5 and higher as evidence of indirect bias, and lower values as evidence of guided variation.</w:t>
      </w:r>
    </w:p>
    <w:p>
      <w:pPr>
        <w:pStyle w:val="BodyText"/>
      </w:pPr>
      <w:r>
        <w:t xml:space="preserve">To measure the variation among the measurements of the stemmed points, we computed Coefficients of Variation (CV) with confidence intervals. The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to test hypotheses about cultural evolutionary processes, including distinguishing between different types of learning biases affecting cultural transmission</w:t>
      </w:r>
      <w:r>
        <w:t xml:space="preserve"> </w:t>
      </w:r>
      <w:r>
        <w:t xml:space="preserve">(Eerkens and Bettinger, 2001; Eerkens and Lipo, 2005; Garvey, 2018; Schillinger et al., 2014)</w:t>
      </w:r>
      <w:r>
        <w:t xml:space="preserve">. Based on the Weber Fraction for visual measurement of line lenght, Eerkens and Bettinger</w:t>
      </w:r>
      <w:r>
        <w:t xml:space="preserve"> </w:t>
      </w:r>
      <w:r>
        <w:t xml:space="preserve">(2001)</w:t>
      </w:r>
      <w:r>
        <w:t xml:space="preserve"> </w:t>
      </w:r>
      <w:r>
        <w:t xml:space="preserve">claim that over 57.7% of the CV is the result of random production and below 1.7% is the byproduct of using a scale or template. They also presented average CV values (%) for artifacts made from various materials (See Table 1 from</w:t>
      </w:r>
      <w:r>
        <w:t xml:space="preserve"> </w:t>
      </w:r>
      <w:r>
        <w:t xml:space="preserve">Eerkens and Bettinger (2001)</w:t>
      </w:r>
      <w:r>
        <w:t xml:space="preserve">). Among those various material artifacts, the most comparable artifacts to the stemmed points are Great Basin projectiles points, whose CV value ranged from 6-55, with an average of 22. Additionally, projectile points from the US Southwest have CV values ranged from 11 to 33</w:t>
      </w:r>
      <w:r>
        <w:t xml:space="preserve"> </w:t>
      </w:r>
      <w:r>
        <w:t xml:space="preserve">(Garvey, 2018)</w:t>
      </w:r>
      <w:r>
        <w:t xml:space="preserve">. We sat 25 as a rough threshold to evaluate the transmission biases referring to the example of Great Basin projectile points. Specifically, we calculated CV values of Rosegate points from Monitor Valley, which was speculated as the byproducts of indirect bias (raw data from table 5 of</w:t>
      </w:r>
      <w:r>
        <w:t xml:space="preserve"> </w:t>
      </w:r>
      <w:r>
        <w:t xml:space="preserve">Bettinger and Eerkens (1999)</w:t>
      </w:r>
      <w:r>
        <w:t xml:space="preserve">). With the exception of weight, the CV range for metric attributes is 17.01 to 24.59. Variation is generated by small errors that are transmitted between individuals and the errors gets bigger through generations</w:t>
      </w:r>
      <w:r>
        <w:t xml:space="preserve"> </w:t>
      </w:r>
      <w:r>
        <w:t xml:space="preserve">(Eerkens and Lipo, 2005)</w:t>
      </w:r>
      <w:r>
        <w:t xml:space="preserve">. The errors are also highly associated with raw materials. Some raw materials, such as clay, are easier to control while, less predictable and controllable materials such as stone are likely to have inflated CV values</w:t>
      </w:r>
      <w:r>
        <w:t xml:space="preserve"> </w:t>
      </w:r>
      <w:r>
        <w:t xml:space="preserve">(Eerkens and Bettinger, 2001)</w:t>
      </w:r>
      <w:r>
        <w:t xml:space="preserve">.</w:t>
      </w:r>
      <w:r>
        <w:t xml:space="preserve"> </w:t>
      </w:r>
      <w:r>
        <w:t xml:space="preserve">We chose higher side on the CV range of Rosegate points as the threshold of our research considering the lower quality raw materials of stemmed points and longer duration of their transmission process, which is roughly whole period of the Korean Late Paleolithic (approx.30,000yrs). We premised that CV values that are lower than 25 represent guided variation while CV values over 25 reflect indirect bias.</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has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 For example,</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here involves comparisons of smaller subsets of this sample. For example to explore temporal and regional patterns we compared samples of well under 25 pieces. Given these relatively small sample sizes in our study, we used the corrected CV formula, which we have implemented here in a function in the R programming language for others to use. We also computed confidence intervals using method proposed by</w:t>
      </w:r>
      <w:r>
        <w:t xml:space="preserve"> </w:t>
      </w:r>
      <w:r>
        <w:t xml:space="preserve">Sharma and Krishna (1994)</w:t>
      </w:r>
      <w:r>
        <w:t xml:space="preserve"> </w:t>
      </w:r>
      <w:r>
        <w:t xml:space="preserve">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and reproducibility</w:t>
      </w:r>
      <w:r>
        <w:t xml:space="preserve"> </w:t>
      </w:r>
      <w:r>
        <w:t xml:space="preserve">(Marwick, 2017)</w:t>
      </w:r>
      <w:r>
        <w:t xml:space="preserve">.</w:t>
      </w:r>
    </w:p>
    <w:bookmarkEnd w:id="41"/>
    <w:bookmarkEnd w:id="42"/>
    <w:bookmarkStart w:id="76" w:name="results"/>
    <w:p>
      <w:pPr>
        <w:pStyle w:val="Heading1"/>
      </w:pPr>
      <w:r>
        <w:t xml:space="preserve">Results</w:t>
      </w:r>
    </w:p>
    <w:bookmarkStart w:id="51" w:name="correlation-analysis-of-attributes"/>
    <w:p>
      <w:pPr>
        <w:pStyle w:val="Heading2"/>
      </w:pPr>
      <w:r>
        <w:t xml:space="preserve">Correlation analysis of attributes</w:t>
      </w:r>
    </w:p>
    <w:p>
      <w:pPr>
        <w:pStyle w:val="FirstParagraph"/>
      </w:pPr>
      <w:hyperlink w:anchor="fig-corr-analysis">
        <w:r>
          <w:rPr>
            <w:rStyle w:val="Hyperlink"/>
          </w:rPr>
          <w:t xml:space="preserve">Figure 4</w:t>
        </w:r>
      </w:hyperlink>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2547257"/>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A: xxx. B. xxx. C. xxx</w:t>
            </w:r>
          </w:p>
          <w:bookmarkEnd w:id="46"/>
        </w:tc>
      </w:tr>
    </w:tbl>
    <w:p>
      <w:pPr>
        <w:pStyle w:val="BodyText"/>
      </w:pPr>
      <w:hyperlink w:anchor="fig-corr-raw-ass">
        <w:r>
          <w:rPr>
            <w:rStyle w:val="Hyperlink"/>
          </w:rPr>
          <w:t xml:space="preserve">Figure 5</w:t>
        </w:r>
      </w:hyperlink>
    </w:p>
    <w:tbl>
      <w:tblPr>
        <w:tblStyle w:val="Table"/>
        <w:tblW w:type="pct" w:w="5000"/>
        <w:tblLook w:firstRow="0" w:lastRow="0" w:firstColumn="0" w:lastColumn="0" w:noHBand="0" w:noVBand="0" w:val="0000"/>
      </w:tblPr>
      <w:tblGrid>
        <w:gridCol w:w="7920"/>
      </w:tblGrid>
      <w:tr>
        <w:tc>
          <w:tcPr/>
          <w:bookmarkStart w:id="50" w:name="fig-corr-raw-ass"/>
          <w:p>
            <w:pPr>
              <w:pStyle w:val="Figure"/>
              <w:jc w:val="center"/>
            </w:pPr>
            <w:r>
              <w:drawing>
                <wp:inline>
                  <wp:extent cx="5943600" cy="4754880"/>
                  <wp:effectExtent b="0" l="0" r="0" t="0"/>
                  <wp:docPr descr="" title="" id="48" name="Picture"/>
                  <a:graphic>
                    <a:graphicData uri="http://schemas.openxmlformats.org/drawingml/2006/picture">
                      <pic:pic>
                        <pic:nvPicPr>
                          <pic:cNvPr descr="paper_files/figure-docx/fig-corr-raw-ass-1.png" id="49" name="Picture"/>
                          <pic:cNvPicPr>
                            <a:picLocks noChangeArrowheads="1" noChangeAspect="1"/>
                          </pic:cNvPicPr>
                        </pic:nvPicPr>
                        <pic:blipFill>
                          <a:blip r:embed="rId4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sth sth B. sth sth.</w:t>
            </w:r>
          </w:p>
          <w:bookmarkEnd w:id="50"/>
        </w:tc>
      </w:tr>
    </w:tbl>
    <w:bookmarkEnd w:id="51"/>
    <w:bookmarkStart w:id="56" w:name="coefficient-of-variation"/>
    <w:p>
      <w:pPr>
        <w:pStyle w:val="Heading2"/>
      </w:pPr>
      <w:r>
        <w:t xml:space="preserve">Coefficient of variation</w:t>
      </w:r>
    </w:p>
    <w:p>
      <w:pPr>
        <w:pStyle w:val="FirstParagraph"/>
      </w:pPr>
      <w:r>
        <w:t xml:space="preserve">Our results show that CV values for all attributes are distributed from 23.9 to 36.4 (</w:t>
      </w:r>
      <w:hyperlink w:anchor="fig-plot-cv-all-attributes">
        <w:r>
          <w:rPr>
            <w:rStyle w:val="Hyperlink"/>
          </w:rPr>
          <w:t xml:space="preserve">Figure 6</w:t>
        </w:r>
      </w:hyperlink>
      <w:r>
        <w:t xml:space="preserve">). Compared to the CVs of Great Basin projectile points</w:t>
      </w:r>
      <w:r>
        <w:t xml:space="preserve"> </w:t>
      </w:r>
      <w:r>
        <w:t xml:space="preserve">(Eerkens and Bettinger, 2001)</w:t>
      </w:r>
      <w:r>
        <w:t xml:space="preserve">, the average CV for the Korean artifacts is higher. Unlike the distribution of the linear measurements,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suggests the transmission of this attribute was more influenced by indirect bias than the others.</w:t>
      </w:r>
    </w:p>
    <w:p>
      <w:pPr>
        <w:pStyle w:val="BodyText"/>
      </w:pPr>
      <w:r>
        <w:t xml:space="preserve">Panel A of</w:t>
      </w:r>
      <w:r>
        <w:t xml:space="preserve"> </w:t>
      </w:r>
      <w:hyperlink w:anchor="fig-plot-cv-all-attributes">
        <w:r>
          <w:rPr>
            <w:rStyle w:val="Hyperlink"/>
          </w:rPr>
          <w:t xml:space="preserve">Figure 6</w:t>
        </w:r>
      </w:hyperlink>
      <w:r>
        <w:t xml:space="preserve"> </w:t>
      </w:r>
      <w:r>
        <w:t xml:space="preserve">shows a relatively wide distribution of body length (BL) and maximum length (ML) while the other attributes are more similar and shorter (under 2.5 cm). Among these attributes, stem width (SW) is the smallest, regardless of overall size of the stemmed points.</w:t>
      </w:r>
    </w:p>
    <w:tbl>
      <w:tblPr>
        <w:tblStyle w:val="Table"/>
        <w:tblW w:type="pct" w:w="5000"/>
        <w:tblLook w:firstRow="0" w:lastRow="0" w:firstColumn="0" w:lastColumn="0" w:noHBand="0" w:noVBand="0" w:val="0000"/>
      </w:tblPr>
      <w:tblGrid>
        <w:gridCol w:w="7920"/>
      </w:tblGrid>
      <w:tr>
        <w:tc>
          <w:tcPr/>
          <w:bookmarkStart w:id="55" w:name="fig-plot-cv-all-attributes"/>
          <w:p>
            <w:pPr>
              <w:pStyle w:val="Figure"/>
              <w:jc w:val="center"/>
            </w:pPr>
            <w:r>
              <w:drawing>
                <wp:inline>
                  <wp:extent cx="5943600" cy="4754880"/>
                  <wp:effectExtent b="0" l="0" r="0" t="0"/>
                  <wp:docPr descr="" title="" id="53" name="Picture"/>
                  <a:graphic>
                    <a:graphicData uri="http://schemas.openxmlformats.org/drawingml/2006/picture">
                      <pic:pic>
                        <pic:nvPicPr>
                          <pic:cNvPr descr="paper_files/figure-docx/fig-plot-cv-all-attributes-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Boxplot for each attribute measured on the stemmed points. The black bold horizontal lines in the middle of boxes represent the median value. The dots represent individual artifacts. B. The points and blue colored numbers represent CV values for each attribute measured on the stemmed points. 95% confidence intervals for the CVs were computed using Sharma and Krishna’s method. The vertical lines indicate the confidence intervals.</w:t>
            </w:r>
          </w:p>
          <w:bookmarkEnd w:id="55"/>
        </w:tc>
      </w:tr>
    </w:tbl>
    <w:bookmarkEnd w:id="56"/>
    <w:bookmarkStart w:id="65" w:name="variation-over-time"/>
    <w:p>
      <w:pPr>
        <w:pStyle w:val="Heading2"/>
      </w:pPr>
      <w:r>
        <w:t xml:space="preserve">Variation Over Time</w:t>
      </w:r>
    </w:p>
    <w:p>
      <w:pPr>
        <w:pStyle w:val="FirstParagraph"/>
      </w:pPr>
      <w:r>
        <w:t xml:space="preserve">To understand temporal patterns in the modes of cultural transmission, we grouped our assemblages into the three Korean Late Paleolithic chronological phases summarised in</w:t>
      </w:r>
      <w:r>
        <w:t xml:space="preserve"> </w:t>
      </w:r>
      <w:hyperlink w:anchor="tbl-korean-chronology">
        <w:r>
          <w:rPr>
            <w:rStyle w:val="Hyperlink"/>
          </w:rPr>
          <w:t xml:space="preserve">Table 2</w:t>
        </w:r>
      </w:hyperlink>
      <w:r>
        <w:t xml:space="preserve">, and computed CV values for all complete stemmed points each phase. We excluded Phase 1 from our analysis because there are only two complete stemmed points from Yonghodong and Sachang that date to this phase.</w:t>
      </w:r>
    </w:p>
    <w:p>
      <w:pPr>
        <w:pStyle w:val="BodyText"/>
      </w:pPr>
      <w:hyperlink w:anchor="fig-plot-cv-over-time">
        <w:r>
          <w:rPr>
            <w:rStyle w:val="Hyperlink"/>
          </w:rPr>
          <w:t xml:space="preserve">Figure 7</w:t>
        </w:r>
      </w:hyperlink>
      <w:r>
        <w:t xml:space="preserve"> </w:t>
      </w:r>
      <w:r>
        <w:t xml:space="preserve">shows that the directional trend in CV values of artifact attributes is complicated. Half of the attributes are below our threshold value of 25, and half are above. Only body length crosses the threshold value, changing from &lt;25 to &gt;25 over time, indicating a shift from indirect bias to guided variation. For those attributes where the CV is &lt;25, the trend is decreasing CV values from Phase 2 to Phase 3 for maximum width and tang length, indicating increasing influence of indirect bias for these attributes. For stem length, stem width and tang length, CV values remain above 25, and show a slight trend to increase over time, suggesting increased influence of guided variation for these attributes.</w:t>
      </w:r>
    </w:p>
    <w:p>
      <w:r>
        <w:br w:type="page"/>
      </w:r>
    </w:p>
    <w:tbl>
      <w:tblPr>
        <w:tblStyle w:val="Table"/>
        <w:tblW w:type="pct" w:w="5000"/>
        <w:tblLook w:firstRow="0" w:lastRow="0" w:firstColumn="0" w:lastColumn="0" w:noHBand="0" w:noVBand="0" w:val="0000"/>
      </w:tblPr>
      <w:tblGrid>
        <w:gridCol w:w="7920"/>
      </w:tblGrid>
      <w:tr>
        <w:tc>
          <w:tcPr/>
          <w:bookmarkStart w:id="60" w:name="fig-plot-cv-over-time"/>
          <w:p>
            <w:pPr>
              <w:pStyle w:val="Figure"/>
              <w:jc w:val="center"/>
            </w:pPr>
            <w:r>
              <w:drawing>
                <wp:inline>
                  <wp:extent cx="5943600" cy="5283200"/>
                  <wp:effectExtent b="0" l="0" r="0" t="0"/>
                  <wp:docPr descr="" title="" id="58" name="Picture"/>
                  <a:graphic>
                    <a:graphicData uri="http://schemas.openxmlformats.org/drawingml/2006/picture">
                      <pic:pic>
                        <pic:nvPicPr>
                          <pic:cNvPr descr="paper_files/figure-docx/fig-plot-cv-over-time-1.png" id="59" name="Picture"/>
                          <pic:cNvPicPr>
                            <a:picLocks noChangeArrowheads="1" noChangeAspect="1"/>
                          </pic:cNvPicPr>
                        </pic:nvPicPr>
                        <pic:blipFill>
                          <a:blip r:embed="rId5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the second and third chronological phases in the Korean Late Paleolithic period. The points represent CV values for each attribute. The vertical lines indicate the confidence intervals.</w:t>
            </w:r>
          </w:p>
          <w:bookmarkEnd w:id="60"/>
        </w:tc>
      </w:tr>
    </w:tbl>
    <w:p>
      <w:pPr>
        <w:pStyle w:val="BodyText"/>
      </w:pPr>
      <w:r>
        <w:t xml:space="preserve">One limitation of this aggregation of all stemmed points in our sample into each chronological phase is that the sample consists of a relatively large number of assemblages with only 1-2 stemmed points. These isolated finds are ambiguous with respect to a local tradition of artifact making, so to further investigate temporal change, we focus only the four assemblages that have five or more stemmed points in one chronological phase (</w:t>
      </w:r>
      <w:hyperlink w:anchor="fig-plot-cv-four-assemblage">
        <w:r>
          <w:rPr>
            <w:rStyle w:val="Hyperlink"/>
          </w:rPr>
          <w:t xml:space="preserve">Figure 8</w:t>
        </w:r>
      </w:hyperlink>
      <w:r>
        <w:t xml:space="preserve">). These four assemblages are more likely to represent a consistent, recurring way of making stemmed points than isolated finds, and thus more relevant for comparing modes of cultural transmission of artifact making. The four assemblages include three from the Suyanggae site (SYG) and one from the Yongsandong site (YS). SYG1_2 and SYG6_2 are from Phase 2 (shown on the left side of the figure) and SYG1_3 and YS_3 are from Phase 3 (shown on the right side of the figure).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8</w:t>
        </w:r>
      </w:hyperlink>
      <w:r>
        <w:t xml:space="preserve"> </w:t>
      </w:r>
      <w:r>
        <w:t xml:space="preserve">shows that CV values for the four assemblages are mostly slightly below 25. Among the assemblages, SYG1_2 (n=7) has higher CV values as well as the widest ranges of confidence intervals, perhaps due to its small sample size, relative to the other assemblages compared here. Overall we see only subtle changes in CV values from Phase 2 to Phase 3 in</w:t>
      </w:r>
      <w:r>
        <w:t xml:space="preserve"> </w:t>
      </w:r>
      <w:hyperlink w:anchor="fig-plot-cv-four-assemblage">
        <w:r>
          <w:rPr>
            <w:rStyle w:val="Hyperlink"/>
          </w:rPr>
          <w:t xml:space="preserve">Figure 8</w:t>
        </w:r>
      </w:hyperlink>
      <w:r>
        <w:t xml:space="preserve">. This suggests that the complex directional trends in</w:t>
      </w:r>
      <w:r>
        <w:t xml:space="preserve"> </w:t>
      </w:r>
      <w:hyperlink w:anchor="fig-plot-cv-over-time">
        <w:r>
          <w:rPr>
            <w:rStyle w:val="Hyperlink"/>
          </w:rPr>
          <w:t xml:space="preserve">Figure 7</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4" w:name="fig-plot-cv-four-assemblage"/>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plot-cv-four-assemblage-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w:t>
            </w:r>
          </w:p>
          <w:bookmarkEnd w:id="64"/>
        </w:tc>
      </w:tr>
    </w:tbl>
    <w:bookmarkEnd w:id="65"/>
    <w:bookmarkStart w:id="70"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less than five points.</w:t>
      </w:r>
      <w:r>
        <w:t xml:space="preserve"> </w:t>
      </w:r>
      <w:hyperlink w:anchor="fig-plot-cv-by-site">
        <w:r>
          <w:rPr>
            <w:rStyle w:val="Hyperlink"/>
          </w:rPr>
          <w:t xml:space="preserve">Figure 9</w:t>
        </w:r>
      </w:hyperlink>
      <w:r>
        <w:t xml:space="preserve"> </w:t>
      </w:r>
      <w:r>
        <w:t xml:space="preserve">shows higher CV values for stem length and stem width, indicating high variability at the stem of the points from these sites. Overall size variability is similar between these three assemblages, suggesting a consistent approach to constraining shape variation over space, rather than site-specific variances.</w:t>
      </w:r>
    </w:p>
    <w:tbl>
      <w:tblPr>
        <w:tblStyle w:val="Table"/>
        <w:tblW w:type="pct" w:w="5000"/>
        <w:tblLook w:firstRow="0" w:lastRow="0" w:firstColumn="0" w:lastColumn="0" w:noHBand="0" w:noVBand="0" w:val="0000"/>
      </w:tblPr>
      <w:tblGrid>
        <w:gridCol w:w="7920"/>
      </w:tblGrid>
      <w:tr>
        <w:tc>
          <w:tcPr/>
          <w:bookmarkStart w:id="69" w:name="fig-plot-cv-by-site"/>
          <w:p>
            <w:pPr>
              <w:pStyle w:val="Figure"/>
              <w:jc w:val="center"/>
            </w:pPr>
            <w:r>
              <w:drawing>
                <wp:inline>
                  <wp:extent cx="5943600" cy="2796988"/>
                  <wp:effectExtent b="0" l="0" r="0" t="0"/>
                  <wp:docPr descr="" title="" id="67" name="Picture"/>
                  <a:graphic>
                    <a:graphicData uri="http://schemas.openxmlformats.org/drawingml/2006/picture">
                      <pic:pic>
                        <pic:nvPicPr>
                          <pic:cNvPr descr="paper_files/figure-docx/fig-plot-cv-by-site-1.png" id="68" name="Picture"/>
                          <pic:cNvPicPr>
                            <a:picLocks noChangeArrowheads="1" noChangeAspect="1"/>
                          </pic:cNvPicPr>
                        </pic:nvPicPr>
                        <pic:blipFill>
                          <a:blip r:embed="rId66"/>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per site for each site has more than five stemmed points. The points represent CV values for each attribute. The vertical lines are confidence intervals.</w:t>
            </w:r>
          </w:p>
          <w:bookmarkEnd w:id="69"/>
        </w:tc>
      </w:tr>
    </w:tbl>
    <w:bookmarkEnd w:id="70"/>
    <w:bookmarkStart w:id="75" w:name="variation-between-raw-materials"/>
    <w:p>
      <w:pPr>
        <w:pStyle w:val="Heading2"/>
      </w:pPr>
      <w:r>
        <w:t xml:space="preserve">Variation Between Raw Materials</w:t>
      </w:r>
    </w:p>
    <w:p>
      <w:pPr>
        <w:pStyle w:val="FirstParagraph"/>
      </w:pPr>
      <w:r>
        <w:t xml:space="preserve">We examined the relationship between CV values and raw materials to test the hypothesis that the shape of stemmed points was highly dependent on raw material. We excluded raw materials that were used for less than three points.</w:t>
      </w:r>
      <w:r>
        <w:t xml:space="preserve"> </w:t>
      </w:r>
      <w:hyperlink w:anchor="fig-plot-cv-by-raw-material">
        <w:r>
          <w:rPr>
            <w:rStyle w:val="Hyperlink"/>
          </w:rPr>
          <w:t xml:space="preserve">Figure 10</w:t>
        </w:r>
      </w:hyperlink>
      <w:r>
        <w:t xml:space="preserve"> </w:t>
      </w:r>
      <w:r>
        <w:t xml:space="preserve">shows that quartzite, the raw material for the stemmed points at Sachang, has the highest CV values, and also has wide conference intervals. Other raw materials are generally stable in variation throughout the attributes.</w:t>
      </w:r>
    </w:p>
    <w:tbl>
      <w:tblPr>
        <w:tblStyle w:val="Table"/>
        <w:tblW w:type="pct" w:w="5000"/>
        <w:tblLook w:firstRow="0" w:lastRow="0" w:firstColumn="0" w:lastColumn="0" w:noHBand="0" w:noVBand="0" w:val="0000"/>
      </w:tblPr>
      <w:tblGrid>
        <w:gridCol w:w="7920"/>
      </w:tblGrid>
      <w:tr>
        <w:tc>
          <w:tcPr/>
          <w:bookmarkStart w:id="74" w:name="fig-plot-cv-by-raw-material"/>
          <w:p>
            <w:pPr>
              <w:pStyle w:val="Figure"/>
              <w:jc w:val="center"/>
            </w:pPr>
            <w:r>
              <w:drawing>
                <wp:inline>
                  <wp:extent cx="5943600" cy="2796988"/>
                  <wp:effectExtent b="0" l="0" r="0" t="0"/>
                  <wp:docPr descr="" title="" id="72" name="Picture"/>
                  <a:graphic>
                    <a:graphicData uri="http://schemas.openxmlformats.org/drawingml/2006/picture">
                      <pic:pic>
                        <pic:nvPicPr>
                          <pic:cNvPr descr="paper_files/figure-docx/fig-plot-cv-by-raw-material-1.png" id="73" name="Picture"/>
                          <pic:cNvPicPr>
                            <a:picLocks noChangeArrowheads="1" noChangeAspect="1"/>
                          </pic:cNvPicPr>
                        </pic:nvPicPr>
                        <pic:blipFill>
                          <a:blip r:embed="rId71"/>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for raw materials that were used for making more than one stemmed point. The points represent CV values for each attribute. The vertical lines indicate the confidence intervals.</w:t>
            </w:r>
          </w:p>
          <w:bookmarkEnd w:id="74"/>
        </w:tc>
      </w:tr>
    </w:tbl>
    <w:bookmarkEnd w:id="75"/>
    <w:bookmarkEnd w:id="76"/>
    <w:bookmarkStart w:id="78"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roughly 25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interpreted this as indicating indirect bias while values higher than 25 were interpreted as guided variation.</w:t>
      </w:r>
    </w:p>
    <w:p>
      <w:pPr>
        <w:pStyle w:val="BodyText"/>
      </w:pPr>
      <w:r>
        <w:t xml:space="preserve">The CV values for all stemmed point attributes are mostly over 25, except for maximum length, which is just below. Change in CV values for over time in the Korean Late Paleolithic period is complex, with no clear directional changes (</w:t>
      </w:r>
      <w:hyperlink w:anchor="fig-plot-cv-over-time">
        <w:r>
          <w:rPr>
            <w:rStyle w:val="Hyperlink"/>
          </w:rPr>
          <w:t xml:space="preserve">Figure 7</w:t>
        </w:r>
      </w:hyperlink>
      <w:r>
        <w:t xml:space="preserve">). Comparing chronological phases 2 and 3, we found that there are only minor differences between the two phases. Applying the Modified Signed-Likelihood Ratio Test (SLRT)</w:t>
      </w:r>
      <w:r>
        <w:t xml:space="preserve"> </w:t>
      </w:r>
      <w:r>
        <w:t xml:space="preserve"> </w:t>
      </w:r>
      <w:r>
        <w:t xml:space="preserve">to test for the equality of CVs,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found confirmation of minimal change in CV values over time (</w:t>
      </w:r>
      <w:hyperlink w:anchor="fig-plot-cv-four-assemblage">
        <w:r>
          <w:rPr>
            <w:rStyle w:val="Hyperlink"/>
          </w:rPr>
          <w:t xml:space="preserve">Figure 8</w:t>
        </w:r>
      </w:hyperlink>
      <w:r>
        <w:t xml:space="preserve">).</w:t>
      </w:r>
    </w:p>
    <w:bookmarkStart w:id="77"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0.004</w:t>
            </w:r>
          </w:p>
        </w:tc>
        <w:tc>
          <w:tcPr/>
          <w:p>
            <w:pPr>
              <w:pStyle w:val="Compact"/>
              <w:jc w:val="right"/>
            </w:pPr>
            <w:r>
              <w:t xml:space="preserve">0.948</w:t>
            </w:r>
          </w:p>
        </w:tc>
      </w:tr>
      <w:tr>
        <w:tc>
          <w:tcPr/>
          <w:p>
            <w:pPr>
              <w:pStyle w:val="Compact"/>
              <w:jc w:val="left"/>
            </w:pPr>
            <w:r>
              <w:t xml:space="preserve">SW</w:t>
            </w:r>
          </w:p>
        </w:tc>
        <w:tc>
          <w:tcPr/>
          <w:p>
            <w:pPr>
              <w:pStyle w:val="Compact"/>
              <w:jc w:val="right"/>
            </w:pPr>
            <w:r>
              <w:t xml:space="preserve">0.020</w:t>
            </w:r>
          </w:p>
        </w:tc>
        <w:tc>
          <w:tcPr/>
          <w:p>
            <w:pPr>
              <w:pStyle w:val="Compact"/>
              <w:jc w:val="right"/>
            </w:pPr>
            <w:r>
              <w:t xml:space="preserve">0.888</w:t>
            </w:r>
          </w:p>
        </w:tc>
      </w:tr>
      <w:tr>
        <w:tc>
          <w:tcPr/>
          <w:p>
            <w:pPr>
              <w:pStyle w:val="Compact"/>
              <w:jc w:val="left"/>
            </w:pPr>
            <w:r>
              <w:t xml:space="preserve">BL</w:t>
            </w:r>
          </w:p>
        </w:tc>
        <w:tc>
          <w:tcPr/>
          <w:p>
            <w:pPr>
              <w:pStyle w:val="Compact"/>
              <w:jc w:val="right"/>
            </w:pPr>
            <w:r>
              <w:t xml:space="preserve">0.363</w:t>
            </w:r>
          </w:p>
        </w:tc>
        <w:tc>
          <w:tcPr/>
          <w:p>
            <w:pPr>
              <w:pStyle w:val="Compact"/>
              <w:jc w:val="right"/>
            </w:pPr>
            <w:r>
              <w:t xml:space="preserve">0.547</w:t>
            </w:r>
          </w:p>
        </w:tc>
      </w:tr>
      <w:tr>
        <w:tc>
          <w:tcPr/>
          <w:p>
            <w:pPr>
              <w:pStyle w:val="Compact"/>
              <w:jc w:val="left"/>
            </w:pPr>
            <w:r>
              <w:t xml:space="preserve">ML</w:t>
            </w:r>
          </w:p>
        </w:tc>
        <w:tc>
          <w:tcPr/>
          <w:p>
            <w:pPr>
              <w:pStyle w:val="Compact"/>
              <w:jc w:val="right"/>
            </w:pPr>
            <w:r>
              <w:t xml:space="preserve">0.399</w:t>
            </w:r>
          </w:p>
        </w:tc>
        <w:tc>
          <w:tcPr/>
          <w:p>
            <w:pPr>
              <w:pStyle w:val="Compact"/>
              <w:jc w:val="right"/>
            </w:pPr>
            <w:r>
              <w:t xml:space="preserve">0.528</w:t>
            </w:r>
          </w:p>
        </w:tc>
      </w:tr>
      <w:tr>
        <w:tc>
          <w:tcPr/>
          <w:p>
            <w:pPr>
              <w:pStyle w:val="Compact"/>
              <w:jc w:val="left"/>
            </w:pPr>
            <w:r>
              <w:t xml:space="preserve">SL</w:t>
            </w:r>
          </w:p>
        </w:tc>
        <w:tc>
          <w:tcPr/>
          <w:p>
            <w:pPr>
              <w:pStyle w:val="Compact"/>
              <w:jc w:val="right"/>
            </w:pPr>
            <w:r>
              <w:t xml:space="preserve">0.485</w:t>
            </w:r>
          </w:p>
        </w:tc>
        <w:tc>
          <w:tcPr/>
          <w:p>
            <w:pPr>
              <w:pStyle w:val="Compact"/>
              <w:jc w:val="right"/>
            </w:pPr>
            <w:r>
              <w:t xml:space="preserve">0.486</w:t>
            </w:r>
          </w:p>
        </w:tc>
      </w:tr>
      <w:tr>
        <w:tc>
          <w:tcPr/>
          <w:p>
            <w:pPr>
              <w:pStyle w:val="Compact"/>
              <w:jc w:val="left"/>
            </w:pPr>
            <w:r>
              <w:t xml:space="preserve">TW</w:t>
            </w:r>
          </w:p>
        </w:tc>
        <w:tc>
          <w:tcPr/>
          <w:p>
            <w:pPr>
              <w:pStyle w:val="Compact"/>
              <w:jc w:val="right"/>
            </w:pPr>
            <w:r>
              <w:t xml:space="preserve">0.702</w:t>
            </w:r>
          </w:p>
        </w:tc>
        <w:tc>
          <w:tcPr/>
          <w:p>
            <w:pPr>
              <w:pStyle w:val="Compact"/>
              <w:jc w:val="right"/>
            </w:pPr>
            <w:r>
              <w:t xml:space="preserve">0.402</w:t>
            </w:r>
          </w:p>
        </w:tc>
      </w:tr>
      <w:tr>
        <w:tc>
          <w:tcPr/>
          <w:p>
            <w:pPr>
              <w:pStyle w:val="Compact"/>
              <w:jc w:val="left"/>
            </w:pPr>
            <w:r>
              <w:t xml:space="preserve">MW</w:t>
            </w:r>
          </w:p>
        </w:tc>
        <w:tc>
          <w:tcPr/>
          <w:p>
            <w:pPr>
              <w:pStyle w:val="Compact"/>
              <w:jc w:val="right"/>
            </w:pPr>
            <w:r>
              <w:t xml:space="preserve">0.809</w:t>
            </w:r>
          </w:p>
        </w:tc>
        <w:tc>
          <w:tcPr/>
          <w:p>
            <w:pPr>
              <w:pStyle w:val="Compact"/>
              <w:jc w:val="right"/>
            </w:pPr>
            <w:r>
              <w:t xml:space="preserve">0.368</w:t>
            </w:r>
          </w:p>
        </w:tc>
      </w:tr>
    </w:tbl>
    <w:bookmarkEnd w:id="77"/>
    <w:p>
      <w:pPr>
        <w:pStyle w:val="BodyText"/>
      </w:pPr>
      <w:r>
        <w:t xml:space="preserve">In exploring geographical variation we found no clear pattern variation in CV between sites with more than five stemmed points (</w:t>
      </w:r>
      <w:hyperlink w:anchor="fig-plot-cv-by-site">
        <w:r>
          <w:rPr>
            <w:rStyle w:val="Hyperlink"/>
          </w:rPr>
          <w:t xml:space="preserve">Figure 9</w:t>
        </w:r>
      </w:hyperlink>
      <w:r>
        <w:t xml:space="preserve">). The most striking pattern in this site comparison is that CV values of body length, maximum length, mid width, and tang width are generally lower than tang length, stem length, and stem width, similar to what is evident in</w:t>
      </w:r>
      <w:r>
        <w:t xml:space="preserve"> </w:t>
      </w:r>
      <w:hyperlink w:anchor="fig-plot-cv-all-attributes">
        <w:r>
          <w:rPr>
            <w:rStyle w:val="Hyperlink"/>
          </w:rPr>
          <w:t xml:space="preserve">Figure 6</w:t>
        </w:r>
      </w:hyperlink>
      <w:r>
        <w:t xml:space="preserve">. The attributes with lower CV values could be transmitted in a social context dominated by indirect bias, while the higher CV attributes could be influenced more by specific manufacturing and maintenance situations. We assume that the lower CV values of the four attributes could imply that those four attributes are closely associated with the projectile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impact end of the artifact. These were allowed to vary more freely between points, perhaps to be able to accommodate shafts of different types of wood with varying properties of strength, flexibility, and weight.</w:t>
      </w:r>
    </w:p>
    <w:p>
      <w:pPr>
        <w:pStyle w:val="BodyText"/>
      </w:pPr>
      <w:r>
        <w:t xml:space="preserve">The most striking differences in CV values is evident in comparisons of points grouped by raw materials. Artifacts made from quartzite have much higher CV values, and wider confidence intervals, than all other raw materials (</w:t>
      </w:r>
      <w:hyperlink w:anchor="fig-plot-cv-by-raw-material">
        <w:r>
          <w:rPr>
            <w:rStyle w:val="Hyperlink"/>
          </w:rPr>
          <w:t xml:space="preserve">Figure 10</w:t>
        </w:r>
      </w:hyperlink>
      <w:r>
        <w:t xml:space="preserve">). This likely reflects the relatively unpredictable knapping quality of quartzite due to the presence of visible grains. These grains can redirect knapping forces in unexpected directions, resulting in unintended flake removals. This makes is harder for the knapper to repeatedly produce the same size and shape end product. This hints at the possibility that physical properties of the stone artifact raw materials were a key mechanism in determining shape and size variability. However with only three artifacts made from quartzite in our sample, further analysis is needed to make robust conclusions about the influence of raw materials here.</w:t>
      </w:r>
    </w:p>
    <w:bookmarkEnd w:id="78"/>
    <w:bookmarkStart w:id="79" w:name="conclusion"/>
    <w:p>
      <w:pPr>
        <w:pStyle w:val="Heading1"/>
      </w:pPr>
      <w:r>
        <w:t xml:space="preserve">Conclusion</w:t>
      </w:r>
    </w:p>
    <w:p>
      <w:pPr>
        <w:pStyle w:val="FirstParagraph"/>
      </w:pPr>
      <w:r>
        <w:t xml:space="preserve">In this research, we investigated the social context of technological innovation in the Korean Late Paleolithic. Following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investigated two transmission biases, guided variation (trial and error) and indirect bias (copying a model). We proposed two scenarios for explaining the introduction of new technology: socially isolated groups that made stemmed points through trial and error (guided variation) or socially connected groups whose knowledge of stemmed points derived from copying others that they regularly came in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guided variation (trial and error). This is indicated by relatively high CV values of around and above 25 and mostly low correlation coefficients of less than 0.5. A social context that favoured trial and error for artifact making is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blade technologies.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at 0.5 and higher in chronological phase 3, after 25 ka. This is in the same range of correlation coefficients that Bettinger and Eerkens interpreted as indirect bias. This may suggest a shift in the social context of transmission of tool-making skills away from trial and error and towards increased reliance on copying a model. We might speculate that cooler conditions of the Last Glacial Maximum promoted greater integration of social networks to buffer risks of resource failure</w:t>
      </w:r>
      <w:r>
        <w:t xml:space="preserve"> </w:t>
      </w:r>
      <w:r>
        <w:t xml:space="preserve">. With more frequent contacts and connections with members of the social network, there may have been more opportunities to learn point-making directly from socially successful individuals.</w:t>
      </w:r>
    </w:p>
    <w:p>
      <w:pPr>
        <w:pStyle w:val="BodyText"/>
      </w:pPr>
      <w:r>
        <w:t xml:space="preserve">In comparing sites with more than five stemmed points, we found complex variation in CV values that may suggest mixtures of biases in the transmission of tool-making techniques. We did not find strong support for distinctive forms of cultural transmission of tool-making at different sites. Correlation coefficient values across the sites affirm the overall chronological trend indicating indirect bias in phase three. Raw materials appear to be important in driving this trend, with acid volcanic rocks and porphyry becoming more abundant in phase 3, and dominating assemblages at Wolpyeng and Yonsangdong that date to this period. One possibility is that these raw materials were part of an adaptive shift during the Last Glacial Maximum, perhaps the cooler climate favoured an expanded range for searching for raw materials, leading to a higher diversity. Similarly, higher mobility may have resulted in more frequent contacts and connections with members of social networks. This may have provided more opportunities to learn point-making directly from socially successful individuals, and increased the contribution of indirect bias during cultural transmission during phase 3.</w:t>
      </w:r>
    </w:p>
    <w:p>
      <w:pPr>
        <w:pStyle w:val="BodyText"/>
      </w:pPr>
      <w:r>
        <w:t xml:space="preserve">.</w:t>
      </w:r>
    </w:p>
    <w:bookmarkEnd w:id="79"/>
    <w:bookmarkStart w:id="80" w:name="acknowledgements"/>
    <w:p>
      <w:pPr>
        <w:pStyle w:val="Heading1"/>
      </w:pPr>
      <w:r>
        <w:t xml:space="preserve">Acknowledgements</w:t>
      </w:r>
    </w:p>
    <w:bookmarkEnd w:id="80"/>
    <w:bookmarkStart w:id="81"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81"/>
    <w:bookmarkStart w:id="161" w:name="references"/>
    <w:p>
      <w:pPr>
        <w:pStyle w:val="Heading1"/>
      </w:pPr>
      <w:r>
        <w:t xml:space="preserve">References</w:t>
      </w:r>
    </w:p>
    <w:bookmarkStart w:id="159" w:name="refs"/>
    <w:bookmarkStart w:id="82"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2"/>
    <w:bookmarkStart w:id="83" w:name="ref-bae2013early"/>
    <w:p>
      <w:pPr>
        <w:pStyle w:val="Bibliography"/>
      </w:pPr>
      <w:r>
        <w:t xml:space="preserve">Bae, C., Bae, K., Kim, J.C., 2013. The early to late paleolithic transition in korea: A closer look. Radiocarbon 55, 1341–1349.</w:t>
      </w:r>
    </w:p>
    <w:bookmarkEnd w:id="83"/>
    <w:bookmarkStart w:id="84" w:name="ref-bae2012nature"/>
    <w:p>
      <w:pPr>
        <w:pStyle w:val="Bibliography"/>
      </w:pPr>
      <w:r>
        <w:t xml:space="preserve">Bae, C.J., Bae, K., 2012. The nature of the early to late paleolithic transition in korea: Current perspectives. Quaternary International 281, 26–35.</w:t>
      </w:r>
    </w:p>
    <w:bookmarkEnd w:id="84"/>
    <w:bookmarkStart w:id="85" w:name="ref-bae2017origin"/>
    <w:p>
      <w:pPr>
        <w:pStyle w:val="Bibliography"/>
      </w:pPr>
      <w:r>
        <w:t xml:space="preserve">Bae, C.J., Douka, K., Petraglia, M.D., 2017. On the origin of modern humans: Asian perspectives. Science 358, eaai9067.</w:t>
      </w:r>
    </w:p>
    <w:bookmarkEnd w:id="85"/>
    <w:bookmarkStart w:id="86" w:name="ref-bae2010origin"/>
    <w:p>
      <w:pPr>
        <w:pStyle w:val="Bibliography"/>
      </w:pPr>
      <w:r>
        <w:t xml:space="preserve">Bae, K., 2010. Origin and patterns of the upper paleolithic industries in the korean peninsula and movement of modern humans in east asia. Quaternary International 211, 103–112.</w:t>
      </w:r>
    </w:p>
    <w:bookmarkEnd w:id="86"/>
    <w:bookmarkStart w:id="87" w:name="ref-bamforth2009projectile"/>
    <w:p>
      <w:pPr>
        <w:pStyle w:val="Bibliography"/>
      </w:pPr>
      <w:r>
        <w:t xml:space="preserve">Bamforth, D.B., 2009. Projectile points, people, and plains paleoindian perambulations. Journal of Anthropological Archaeology 28, 142–157.</w:t>
      </w:r>
    </w:p>
    <w:bookmarkEnd w:id="87"/>
    <w:bookmarkStart w:id="88" w:name="ref-banik2011estimating"/>
    <w:p>
      <w:pPr>
        <w:pStyle w:val="Bibliography"/>
      </w:pPr>
      <w:r>
        <w:t xml:space="preserve">Banik, S., Kibria, B.G., 2011. Estimating the population coefficient of variation by confidence intervals. Communications in Statistics-Simulation and Computation 40, 1236–1261.</w:t>
      </w:r>
    </w:p>
    <w:bookmarkEnd w:id="88"/>
    <w:bookmarkStart w:id="89"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9"/>
    <w:bookmarkStart w:id="90" w:name="ref-bettinger1999point"/>
    <w:p>
      <w:pPr>
        <w:pStyle w:val="Bibliography"/>
      </w:pPr>
      <w:r>
        <w:t xml:space="preserve">Bettinger, R.L., Eerkens, J., 1999. Point typologies, cultural transmission, and the spread of bow-and-arrow technology in the prehistoric great basin. American antiquity 231–242.</w:t>
      </w:r>
    </w:p>
    <w:bookmarkEnd w:id="90"/>
    <w:bookmarkStart w:id="91"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91"/>
    <w:bookmarkStart w:id="92" w:name="ref-bettinger1997rediscovering"/>
    <w:p>
      <w:pPr>
        <w:pStyle w:val="Bibliography"/>
      </w:pPr>
      <w:r>
        <w:t xml:space="preserve">Bettinger, R.L., Eerkens, J.W., Barton, C., Clark, G., 1997. Rediscovering darwin: Evolutionary theory and archaeological explanation.</w:t>
      </w:r>
    </w:p>
    <w:bookmarkEnd w:id="92"/>
    <w:bookmarkStart w:id="93" w:name="ref-boyd1988culture"/>
    <w:p>
      <w:pPr>
        <w:pStyle w:val="Bibliography"/>
      </w:pPr>
      <w:r>
        <w:t xml:space="preserve">Boyd, R., Richerson, P.J., 1988. Culture and the evolutionary process. University of Chicago press.</w:t>
      </w:r>
    </w:p>
    <w:bookmarkEnd w:id="93"/>
    <w:bookmarkStart w:id="94"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4"/>
    <w:bookmarkStart w:id="95"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5"/>
    <w:bookmarkStart w:id="96" w:name="ref-chang2013human"/>
    <w:p>
      <w:pPr>
        <w:pStyle w:val="Bibliography"/>
      </w:pPr>
      <w:r>
        <w:t xml:space="preserve">Chang, Y., 2013. Human activity and lithic technology between korea and japan from MIS 3 to MIS 2 in the late paleolithic period. Quaternary International 308, 13–26.</w:t>
      </w:r>
    </w:p>
    <w:bookmarkEnd w:id="96"/>
    <w:bookmarkStart w:id="97" w:name="ref-cheshier2006projectile"/>
    <w:p>
      <w:pPr>
        <w:pStyle w:val="Bibliography"/>
      </w:pPr>
      <w:r>
        <w:t xml:space="preserve">Cheshier, J., Kelly, R.L., 2006. Projectile point shape and durability: The effect of thickness: length. American Antiquity 353–363.</w:t>
      </w:r>
    </w:p>
    <w:bookmarkEnd w:id="97"/>
    <w:bookmarkStart w:id="98"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8"/>
    <w:bookmarkStart w:id="99" w:name="ref-creanza2017cultural"/>
    <w:p>
      <w:pPr>
        <w:pStyle w:val="Bibliography"/>
      </w:pPr>
      <w:r>
        <w:t xml:space="preserve">Creanza, N., Kolodny, O., Feldman, M.W., 2017. Cultural evolutionary theory: How culture evolves and why it matters. Proceedings of the National Academy of Sciences 114, 7782–7789.</w:t>
      </w:r>
    </w:p>
    <w:bookmarkEnd w:id="99"/>
    <w:bookmarkStart w:id="100" w:name="ref-curto2009coefficient"/>
    <w:p>
      <w:pPr>
        <w:pStyle w:val="Bibliography"/>
      </w:pPr>
      <w:r>
        <w:t xml:space="preserve">Curto, J.D., Pinto, J.C., 2009. The coefficient of variation asymptotic distribution in the case of non-iid random variables. Journal of Applied Statistics 36, 21–32.</w:t>
      </w:r>
    </w:p>
    <w:bookmarkEnd w:id="100"/>
    <w:bookmarkStart w:id="101" w:name="ref-dunnell1980evolutionary"/>
    <w:p>
      <w:pPr>
        <w:pStyle w:val="Bibliography"/>
      </w:pPr>
      <w:r>
        <w:t xml:space="preserve">Dunnell, R.C., 1980. Evolutionary theory and archaeology, in: Advances in Archaeological Method and Theory. Elsevier, pp. 35–99.</w:t>
      </w:r>
    </w:p>
    <w:bookmarkEnd w:id="101"/>
    <w:bookmarkStart w:id="102" w:name="ref-eerkens2000practice"/>
    <w:p>
      <w:pPr>
        <w:pStyle w:val="Bibliography"/>
      </w:pPr>
      <w:r>
        <w:t xml:space="preserve">Eerkens, J.W., 2000. Practice makes within 5% of perfect: Visual perception, motor skills, and memory in artifact variation. Current Anthropology 41, 663–668.</w:t>
      </w:r>
    </w:p>
    <w:bookmarkEnd w:id="102"/>
    <w:bookmarkStart w:id="103" w:name="ref-eerkens2008cultural"/>
    <w:p>
      <w:pPr>
        <w:pStyle w:val="Bibliography"/>
      </w:pPr>
      <w:r>
        <w:t xml:space="preserve">Eerkens, J.W., Bettinger, R.L., 2008. Cultural transmission and the analysis of stylistic and functional variation. Transmission and Archaeology: Issues and Case-Studies 21–38.</w:t>
      </w:r>
    </w:p>
    <w:bookmarkEnd w:id="103"/>
    <w:bookmarkStart w:id="104" w:name="ref-eerkens2001techniques"/>
    <w:p>
      <w:pPr>
        <w:pStyle w:val="Bibliography"/>
      </w:pPr>
      <w:r>
        <w:t xml:space="preserve">Eerkens, J.W., Bettinger, R.L., 2001. Techniques for assessing standardization in artifact assemblages: Can we scale material variability? American Antiquity 493–504.</w:t>
      </w:r>
    </w:p>
    <w:bookmarkEnd w:id="104"/>
    <w:bookmarkStart w:id="105"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05"/>
    <w:bookmarkStart w:id="106"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6"/>
    <w:bookmarkStart w:id="107"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7"/>
    <w:bookmarkStart w:id="108"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8"/>
    <w:bookmarkStart w:id="109" w:name="ref-heyes1994social"/>
    <w:p>
      <w:pPr>
        <w:pStyle w:val="Bibliography"/>
      </w:pPr>
      <w:r>
        <w:t xml:space="preserve">Heyes, C.M., 1994. Social learning in animals: Categories and mechanisms. Biological Reviews 69, 207–231.</w:t>
      </w:r>
    </w:p>
    <w:bookmarkEnd w:id="109"/>
    <w:bookmarkStart w:id="110" w:name="ref-kelley2007sample"/>
    <w:p>
      <w:pPr>
        <w:pStyle w:val="Bibliography"/>
      </w:pPr>
      <w:r>
        <w:t xml:space="preserve">Kelley, K., 2007. Sample size planning for the coefficient of variation from the accuracy in parameter estimation approach. Behavior Research Methods 39, 755–766.</w:t>
      </w:r>
    </w:p>
    <w:bookmarkEnd w:id="110"/>
    <w:bookmarkStart w:id="111" w:name="ref-kendal2018social"/>
    <w:p>
      <w:pPr>
        <w:pStyle w:val="Bibliography"/>
      </w:pPr>
      <w:r>
        <w:t xml:space="preserve">Kendal, R.L., Boogert, N.J., Rendell, L., Laland, K.N., Webster, M., Jones, P.L., 2018. Social learning strategies: Bridge-building between fields. Trends in cognitive sciences 22, 651–665.</w:t>
      </w:r>
    </w:p>
    <w:bookmarkEnd w:id="111"/>
    <w:bookmarkStart w:id="112"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12"/>
    <w:bookmarkStart w:id="113" w:name="ref-koopmans1964confidence"/>
    <w:p>
      <w:pPr>
        <w:pStyle w:val="Bibliography"/>
      </w:pPr>
      <w:r>
        <w:t xml:space="preserve">Koopmans, L.H., Owen, D.B., Rosenblatt, J.I., 1964. Confidence intervals for the coefficient of variation for the normal and log normal distributions. Biometrika 51, 25–32.</w:t>
      </w:r>
    </w:p>
    <w:bookmarkEnd w:id="113"/>
    <w:bookmarkStart w:id="114" w:name="ref-kvamme1996alternative"/>
    <w:p>
      <w:pPr>
        <w:pStyle w:val="Bibliography"/>
      </w:pPr>
      <w:r>
        <w:t xml:space="preserve">Kvamme, K.L., Stark, M.T., Longacre, W.A., 1996. Alternative procedures for assessing standardization in ceramic assemblages. American Antiquity 61, 116–126.</w:t>
      </w:r>
    </w:p>
    <w:bookmarkEnd w:id="114"/>
    <w:bookmarkStart w:id="115"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5"/>
    <w:bookmarkStart w:id="116" w:name="ref-lee2013current"/>
    <w:p>
      <w:pPr>
        <w:pStyle w:val="Bibliography"/>
      </w:pPr>
      <w:r>
        <w:t xml:space="preserve">Lee, H.W., 2013. Current observations of the early late paleolithic in korea. Quaternary International 316, 45–58.</w:t>
      </w:r>
    </w:p>
    <w:bookmarkEnd w:id="116"/>
    <w:bookmarkStart w:id="117" w:name="ref-lipo1997population"/>
    <w:p>
      <w:pPr>
        <w:pStyle w:val="Bibliography"/>
      </w:pPr>
      <w:r>
        <w:t xml:space="preserve">Lipo, C.P., Madsen, M.E., Dunnell, R.C., Hunt, T., 1997. Population structure, cultural transmission, and frequency seriation. Journal of Anthropological Archaeology 16, 301–333.</w:t>
      </w:r>
    </w:p>
    <w:bookmarkEnd w:id="117"/>
    <w:bookmarkStart w:id="118" w:name="ref-lycett2015cultural"/>
    <w:p>
      <w:pPr>
        <w:pStyle w:val="Bibliography"/>
      </w:pPr>
      <w:r>
        <w:t xml:space="preserve">Lycett, S.J., 2015. Cultural evolutionary approaches to artifact variation over time and space: Basis, progress, and prospects. Journal of Archaeological Science 56, 21–31.</w:t>
      </w:r>
    </w:p>
    <w:bookmarkEnd w:id="118"/>
    <w:bookmarkStart w:id="119" w:name="ref-macleod2018quantitative"/>
    <w:p>
      <w:pPr>
        <w:pStyle w:val="Bibliography"/>
      </w:pPr>
      <w:r>
        <w:t xml:space="preserve">MacLeod, N., 2018. The quantitative assessment of archaeological artifact groups: Beyond geometric morphometrics. Quaternary Science Reviews 201, 319–348.</w:t>
      </w:r>
    </w:p>
    <w:bookmarkEnd w:id="119"/>
    <w:bookmarkStart w:id="120" w:name="ref-mahmoudvand2009two"/>
    <w:p>
      <w:pPr>
        <w:pStyle w:val="Bibliography"/>
      </w:pPr>
      <w:r>
        <w:t xml:space="preserve">Mahmoudvand, R., Hassani, H., 2009. Two new confidence intervals for the coefficient of variation in a normal distribution. Journal of Applied Statistics 36, 429–442.</w:t>
      </w:r>
    </w:p>
    <w:bookmarkEnd w:id="120"/>
    <w:bookmarkStart w:id="121"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1"/>
    <w:bookmarkStart w:id="122"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22"/>
    <w:bookmarkStart w:id="123" w:name="ref-mckay1932distribution"/>
    <w:p>
      <w:pPr>
        <w:pStyle w:val="Bibliography"/>
      </w:pPr>
      <w:r>
        <w:t xml:space="preserve">McKay, A., 1932. Distribution of the coefficient of variation and the extended" t" distribution. Journal of the Royal Statistical Society 95, 695–698.</w:t>
      </w:r>
    </w:p>
    <w:bookmarkEnd w:id="123"/>
    <w:bookmarkStart w:id="124" w:name="ref-mesoudi2008cultural"/>
    <w:p>
      <w:pPr>
        <w:pStyle w:val="Bibliography"/>
      </w:pPr>
      <w:r>
        <w:t xml:space="preserve">Mesoudi, A., O’Brien, M.J., 2008. The cultural transmission of great basin projectile-point technology i: An experimental simulation. American Antiquity 3–28.</w:t>
      </w:r>
    </w:p>
    <w:bookmarkEnd w:id="124"/>
    <w:bookmarkStart w:id="125" w:name="ref-miller1991asymptomatic"/>
    <w:p>
      <w:pPr>
        <w:pStyle w:val="Bibliography"/>
      </w:pPr>
      <w:r>
        <w:t xml:space="preserve">Miller, R., 1991. Asymptomatic test statistics for coefficients of variation. Theor Meth 20, 2251–2262.</w:t>
      </w:r>
    </w:p>
    <w:bookmarkEnd w:id="125"/>
    <w:bookmarkStart w:id="126" w:name="ref-ng2006performance"/>
    <w:p>
      <w:pPr>
        <w:pStyle w:val="Bibliography"/>
      </w:pPr>
      <w:r>
        <w:t xml:space="preserve">Ng, C., 2006. Performance of three methods of interval estimation of the coefficient of variation. InterStat.</w:t>
      </w:r>
    </w:p>
    <w:bookmarkEnd w:id="126"/>
    <w:bookmarkStart w:id="127" w:name="ref-o2017dual"/>
    <w:p>
      <w:pPr>
        <w:pStyle w:val="Bibliography"/>
      </w:pPr>
      <w:r>
        <w:t xml:space="preserve">O’Brien, M.J., Bentley, R.A., 2017. Dual inheritance, cultural transmission, and niche construction. The Handbook of Culture and Biology.</w:t>
      </w:r>
    </w:p>
    <w:bookmarkEnd w:id="127"/>
    <w:bookmarkStart w:id="128" w:name="ref-o2000applying"/>
    <w:p>
      <w:pPr>
        <w:pStyle w:val="Bibliography"/>
      </w:pPr>
      <w:r>
        <w:t xml:space="preserve">O’brien, M.J., Lyman, R.L., 2000. Applying evolutionary archaeology: A systematic approach. Springer Science &amp; Business Media.</w:t>
      </w:r>
    </w:p>
    <w:bookmarkEnd w:id="128"/>
    <w:bookmarkStart w:id="129" w:name="ref-odell1986experiments"/>
    <w:p>
      <w:pPr>
        <w:pStyle w:val="Bibliography"/>
      </w:pPr>
      <w:r>
        <w:t xml:space="preserve">Odell, G.H., Cowan, F., 1986. Experiments with spears and arrows on animal targets. Journal of Field Archaeology 13, 195–212.</w:t>
      </w:r>
    </w:p>
    <w:bookmarkEnd w:id="129"/>
    <w:bookmarkStart w:id="130"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30"/>
    <w:bookmarkStart w:id="131"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31"/>
    <w:bookmarkStart w:id="132" w:name="ref-panichkitkosolkul2009improved"/>
    <w:p>
      <w:pPr>
        <w:pStyle w:val="Bibliography"/>
      </w:pPr>
      <w:r>
        <w:t xml:space="preserve">Panichkitkosolkul, W., 2009. Improved confidence intervals for a coefficient of variation of a normal distribution. Thailand statistician 7, 193–199.</w:t>
      </w:r>
    </w:p>
    <w:bookmarkEnd w:id="132"/>
    <w:bookmarkStart w:id="133" w:name="ref-Park_2013"/>
    <w:p>
      <w:pPr>
        <w:pStyle w:val="Bibliography"/>
      </w:pPr>
      <w:r>
        <w:t xml:space="preserve">Park, G., 2013. A study on the stemmed points of the late paleolithic in the korean peninsula. Yeongnam Archaeological Review 64, 39–69.</w:t>
      </w:r>
    </w:p>
    <w:bookmarkEnd w:id="133"/>
    <w:bookmarkStart w:id="134"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34"/>
    <w:bookmarkStart w:id="136" w:name="ref-RCoreTeam"/>
    <w:p>
      <w:pPr>
        <w:pStyle w:val="Bibliography"/>
      </w:pPr>
      <w:r>
        <w:t xml:space="preserve">R Core Team, 2022.</w:t>
      </w:r>
      <w:r>
        <w:t xml:space="preserve"> </w:t>
      </w:r>
      <w:hyperlink r:id="rId135">
        <w:r>
          <w:rPr>
            <w:rStyle w:val="Hyperlink"/>
          </w:rPr>
          <w:t xml:space="preserve">R: A language and environment for statistical computing</w:t>
        </w:r>
      </w:hyperlink>
      <w:r>
        <w:t xml:space="preserve">. R Foundation for Statistical Computing, Vienna, Austria.</w:t>
      </w:r>
    </w:p>
    <w:bookmarkEnd w:id="136"/>
    <w:bookmarkStart w:id="137" w:name="ref-richerson1992cultural"/>
    <w:p>
      <w:pPr>
        <w:pStyle w:val="Bibliography"/>
      </w:pPr>
      <w:r>
        <w:t xml:space="preserve">Richerson, P.J., Boyd, R., 1992. Cultural inheritance and evolutionary ecology. Evolutionary ecology and human behavior 61–92.</w:t>
      </w:r>
    </w:p>
    <w:bookmarkEnd w:id="137"/>
    <w:bookmarkStart w:id="138" w:name="ref-riede2010isn"/>
    <w:p>
      <w:pPr>
        <w:pStyle w:val="Bibliography"/>
      </w:pPr>
      <w:r>
        <w:t xml:space="preserve">Riede, F., 2010. Why isn’t archaeology (more) darwinian? A historical perspective. Journal of Evolutionary Psychology 8, 183–204.</w:t>
      </w:r>
    </w:p>
    <w:bookmarkEnd w:id="138"/>
    <w:bookmarkStart w:id="139"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39"/>
    <w:bookmarkStart w:id="140"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40"/>
    <w:bookmarkStart w:id="141" w:name="ref-schneider2012nih"/>
    <w:p>
      <w:pPr>
        <w:pStyle w:val="Bibliography"/>
      </w:pPr>
      <w:r>
        <w:t xml:space="preserve">Schneider, C.A., Rasband, W.S., Eliceiri, K.W., 2012. NIH image to ImageJ: 25 years of image analysis. Nature methods 9, 671–675.</w:t>
      </w:r>
    </w:p>
    <w:bookmarkEnd w:id="141"/>
    <w:bookmarkStart w:id="142" w:name="ref-seong2015diversity"/>
    <w:p>
      <w:pPr>
        <w:pStyle w:val="Bibliography"/>
      </w:pPr>
      <w:r>
        <w:t xml:space="preserve">Seong, C., 2015. Diversity of lithic assemblages and evolution of late palaeolithic culture in korea. Asian Perspectives 91–112.</w:t>
      </w:r>
    </w:p>
    <w:bookmarkEnd w:id="142"/>
    <w:bookmarkStart w:id="143" w:name="ref-seong2009emergence"/>
    <w:p>
      <w:pPr>
        <w:pStyle w:val="Bibliography"/>
      </w:pPr>
      <w:r>
        <w:t xml:space="preserve">Seong, C., 2009. Emergence of a blade industry and evolution of late paleolithic technology in the republic of korea. Journal of Anthropological Research 65, 417–451.</w:t>
      </w:r>
    </w:p>
    <w:bookmarkEnd w:id="143"/>
    <w:bookmarkStart w:id="144" w:name="ref-seong2008tanged"/>
    <w:p>
      <w:pPr>
        <w:pStyle w:val="Bibliography"/>
      </w:pPr>
      <w:r>
        <w:t xml:space="preserve">Seong, C., 2008. Tanged points, microblades and late palaeolithic hunting in korea. Antiquity 82, 871–883.</w:t>
      </w:r>
    </w:p>
    <w:bookmarkEnd w:id="144"/>
    <w:bookmarkStart w:id="145" w:name="ref-seong2006structure"/>
    <w:p>
      <w:pPr>
        <w:pStyle w:val="Bibliography"/>
      </w:pPr>
      <w:r>
        <w:t xml:space="preserve">Seong, C., 2006. Structure and evolution of late paleolithic assemblages in korea. Journal of the Korean Archaeological Society 59, 4–39.</w:t>
      </w:r>
    </w:p>
    <w:bookmarkEnd w:id="145"/>
    <w:bookmarkStart w:id="146" w:name="ref-sharma1994asymptotic"/>
    <w:p>
      <w:pPr>
        <w:pStyle w:val="Bibliography"/>
      </w:pPr>
      <w:r>
        <w:t xml:space="preserve">Sharma, K., Krishna, H., 1994. Asymptotic sampling distribution of inverse coefficient-of-variation and its applications. IEEE Transactions on Reliability 43, 630–633.</w:t>
      </w:r>
    </w:p>
    <w:bookmarkEnd w:id="146"/>
    <w:bookmarkStart w:id="147" w:name="ref-shea2001experimental"/>
    <w:p>
      <w:pPr>
        <w:pStyle w:val="Bibliography"/>
      </w:pPr>
      <w:r>
        <w:t xml:space="preserve">Shea, J., Davis, Z., Brown, K., 2001. Experimental tests of middle palaeolithic spear points using a calibrated crossbow. Journal of Archaeological Science 28, 807–816.</w:t>
      </w:r>
    </w:p>
    <w:bookmarkEnd w:id="147"/>
    <w:bookmarkStart w:id="148"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48"/>
    <w:bookmarkStart w:id="149"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49"/>
    <w:bookmarkStart w:id="150" w:name="ref-thulman2012discriminating"/>
    <w:p>
      <w:pPr>
        <w:pStyle w:val="Bibliography"/>
      </w:pPr>
      <w:r>
        <w:t xml:space="preserve">Thulman, D.K., 2012. Discriminating paleoindian point types from florida using landmark geometric morphometrics. Journal of Archaeological Science 39, 1599–1607.</w:t>
      </w:r>
    </w:p>
    <w:bookmarkEnd w:id="150"/>
    <w:bookmarkStart w:id="151"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51"/>
    <w:bookmarkStart w:id="152" w:name="ref-vangel1996confidence"/>
    <w:p>
      <w:pPr>
        <w:pStyle w:val="Bibliography"/>
      </w:pPr>
      <w:r>
        <w:t xml:space="preserve">Vangel, M.G., 1996. Confidence intervals for a normal coefficient of variation. The American Statistician 50, 21–26.</w:t>
      </w:r>
    </w:p>
    <w:bookmarkEnd w:id="152"/>
    <w:bookmarkStart w:id="153" w:name="ref-vanpool2011quantitative"/>
    <w:p>
      <w:pPr>
        <w:pStyle w:val="Bibliography"/>
      </w:pPr>
      <w:r>
        <w:t xml:space="preserve">VanPool, T.L., Leonard, R.D., 2011. Quantitative analysis in archaeology. John Wiley &amp; Sons.</w:t>
      </w:r>
    </w:p>
    <w:bookmarkEnd w:id="153"/>
    <w:bookmarkStart w:id="155" w:name="ref-Whiten_2017"/>
    <w:p>
      <w:pPr>
        <w:pStyle w:val="Bibliography"/>
      </w:pPr>
      <w:r>
        <w:t xml:space="preserve">Whiten, A., 2017. A second inheritance system: The extension of biology through culture. Interface Focus 7, 20160142.</w:t>
      </w:r>
      <w:r>
        <w:t xml:space="preserve"> </w:t>
      </w:r>
      <w:hyperlink r:id="rId154">
        <w:r>
          <w:rPr>
            <w:rStyle w:val="Hyperlink"/>
          </w:rPr>
          <w:t xml:space="preserve">https://doi.org/10.1098/rsfs.2016.0142</w:t>
        </w:r>
      </w:hyperlink>
    </w:p>
    <w:bookmarkEnd w:id="155"/>
    <w:bookmarkStart w:id="156" w:name="ref-wierer2013variability"/>
    <w:p>
      <w:pPr>
        <w:pStyle w:val="Bibliography"/>
      </w:pPr>
      <w:r>
        <w:t xml:space="preserve">Wierer, U., 2013. Variability and standardization: The early gravettian lithic complex of grotta paglicci, southern italy. Quaternary International 288, 215–238.</w:t>
      </w:r>
    </w:p>
    <w:bookmarkEnd w:id="156"/>
    <w:bookmarkStart w:id="157"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57"/>
    <w:bookmarkStart w:id="158"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58"/>
    <w:bookmarkEnd w:id="159"/>
    <w:p>
      <w:r>
        <w:br w:type="page"/>
      </w:r>
    </w:p>
    <w:bookmarkStart w:id="160" w:name="colophon"/>
    <w:p>
      <w:pPr>
        <w:pStyle w:val="Heading3"/>
      </w:pPr>
      <w:r>
        <w:t xml:space="preserve">Colophon</w:t>
      </w:r>
    </w:p>
    <w:p>
      <w:pPr>
        <w:pStyle w:val="FirstParagraph"/>
      </w:pPr>
      <w:r>
        <w:t xml:space="preserve">This report was generated on 2023-01-25 14:30:28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2023-01-25</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cellranger      1.1.0   2016-07-27 [1] CRAN (R 4.2.0)</w:t>
      </w:r>
      <w:r>
        <w:br/>
      </w:r>
      <w:r>
        <w:rPr>
          <w:rStyle w:val="VerbatimChar"/>
        </w:rPr>
        <w:t xml:space="preserve"> cli             3.4.1   2022-09-23 [1] CRAN (R 4.2.0)</w:t>
      </w:r>
      <w:r>
        <w:br/>
      </w:r>
      <w:r>
        <w:rPr>
          <w:rStyle w:val="VerbatimChar"/>
        </w:rPr>
        <w:t xml:space="preserve"> codetools       0.2-18  2020-11-04 [1] CRAN (R 4.2.2)</w:t>
      </w:r>
      <w:r>
        <w:br/>
      </w:r>
      <w:r>
        <w:rPr>
          <w:rStyle w:val="VerbatimChar"/>
        </w:rPr>
        <w:t xml:space="preserve"> colorspace      2.0-3   2022-02-21 [1] CRAN (R 4.2.0)</w:t>
      </w:r>
      <w:r>
        <w:br/>
      </w:r>
      <w:r>
        <w:rPr>
          <w:rStyle w:val="VerbatimChar"/>
        </w:rPr>
        <w:t xml:space="preserve"> corrr         * 0.4.4   2022-08-16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cvequality    * 0.2.0   2019-01-07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DEoptimR        1.0-11  2022-04-03 [1] CRAN (R 4.2.0)</w:t>
      </w:r>
      <w:r>
        <w:br/>
      </w:r>
      <w:r>
        <w:rPr>
          <w:rStyle w:val="VerbatimChar"/>
        </w:rPr>
        <w:t xml:space="preserve"> devtools        2.4.5   2022-10-11 [1] CRAN (R 4.2.0)</w:t>
      </w:r>
      <w:r>
        <w:br/>
      </w:r>
      <w:r>
        <w:rPr>
          <w:rStyle w:val="VerbatimChar"/>
        </w:rPr>
        <w:t xml:space="preserve"> digest          0.6.30  2022-10-18 [1] CRAN (R 4.2.0)</w:t>
      </w:r>
      <w:r>
        <w:br/>
      </w:r>
      <w:r>
        <w:rPr>
          <w:rStyle w:val="VerbatimChar"/>
        </w:rPr>
        <w:t xml:space="preserve"> dplyr         * 1.0.10  2022-09-01 [1] CRAN (R 4.2.0)</w:t>
      </w:r>
      <w:r>
        <w:br/>
      </w:r>
      <w:r>
        <w:rPr>
          <w:rStyle w:val="VerbatimChar"/>
        </w:rPr>
        <w:t xml:space="preserve"> ellipsis        0.3.2   2021-04-29 [1] CRAN (R 4.2.0)</w:t>
      </w:r>
      <w:r>
        <w:br/>
      </w:r>
      <w:r>
        <w:rPr>
          <w:rStyle w:val="VerbatimChar"/>
        </w:rPr>
        <w:t xml:space="preserve"> evaluate        0.18    2022-11-07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0.8-83  2022-09-28 [1] CRAN (R 4.2.2)</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3.0.1   2022-11-03 [1] CRAN (R 4.2.0)</w:t>
      </w:r>
      <w:r>
        <w:br/>
      </w:r>
      <w:r>
        <w:rPr>
          <w:rStyle w:val="VerbatimChar"/>
        </w:rPr>
        <w:t xml:space="preserve"> ggplot2       * 3.4.0   2022-11-04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1.0.1   2020-12-13 [1] CRAN (R 4.2.0)</w:t>
      </w:r>
      <w:r>
        <w:br/>
      </w:r>
      <w:r>
        <w:rPr>
          <w:rStyle w:val="VerbatimChar"/>
        </w:rPr>
        <w:t xml:space="preserve"> highr           0.9     2021-04-16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0.1-10  2022-11-29 [1] CRAN (R 4.2.0)</w:t>
      </w:r>
      <w:r>
        <w:br/>
      </w:r>
      <w:r>
        <w:rPr>
          <w:rStyle w:val="VerbatimChar"/>
        </w:rPr>
        <w:t xml:space="preserve"> jsonlite        1.8.3   2022-10-21 [1] CRAN (R 4.2.0)</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limma           3.54.0  2022-11-07 [1] Bioconductor</w:t>
      </w:r>
      <w:r>
        <w:br/>
      </w:r>
      <w:r>
        <w:rPr>
          <w:rStyle w:val="VerbatimChar"/>
        </w:rPr>
        <w:t xml:space="preserve"> lubridate       1.9.0   2022-11-06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1.1-5   2022-10-21 [1] CRAN (R 4.2.0)</w:t>
      </w:r>
      <w:r>
        <w:br/>
      </w:r>
      <w:r>
        <w:rPr>
          <w:rStyle w:val="VerbatimChar"/>
        </w:rPr>
        <w:t xml:space="preserve"> memoise         2.0.1   2021-11-26 [1] CRAN (R 4.2.0)</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MKmisc        * 1.9     2022-11-19 [1] CRAN (R 4.2.0)</w:t>
      </w:r>
      <w:r>
        <w:br/>
      </w:r>
      <w:r>
        <w:rPr>
          <w:rStyle w:val="VerbatimChar"/>
        </w:rPr>
        <w:t xml:space="preserve"> modelr          0.1.10  2022-11-11 [1] CRAN (R 4.2.0)</w:t>
      </w:r>
      <w:r>
        <w:br/>
      </w:r>
      <w:r>
        <w:rPr>
          <w:rStyle w:val="VerbatimChar"/>
        </w:rPr>
        <w:t xml:space="preserve"> munsell         0.5.0   2018-06-12 [1] CRAN (R 4.2.0)</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1.7.2   2022-10-26 [1] CRAN (R 4.2.0)</w:t>
      </w:r>
      <w:r>
        <w:br/>
      </w:r>
      <w:r>
        <w:rPr>
          <w:rStyle w:val="VerbatimChar"/>
        </w:rPr>
        <w:t xml:space="preserve"> purrr         * 0.3.5   2022-10-06 [1] CRAN (R 4.2.0)</w:t>
      </w:r>
      <w:r>
        <w:br/>
      </w:r>
      <w:r>
        <w:rPr>
          <w:rStyle w:val="VerbatimChar"/>
        </w:rPr>
        <w:t xml:space="preserve"> R6              2.5.1   2021-08-19 [1] CRAN (R 4.2.0)</w:t>
      </w:r>
      <w:r>
        <w:br/>
      </w:r>
      <w:r>
        <w:rPr>
          <w:rStyle w:val="VerbatimChar"/>
        </w:rPr>
        <w:t xml:space="preserve"> raster        * 3.6-11  2022-11-28 [1] CRAN (R 4.2.0)</w:t>
      </w:r>
      <w:r>
        <w:br/>
      </w:r>
      <w:r>
        <w:rPr>
          <w:rStyle w:val="VerbatimChar"/>
        </w:rPr>
        <w:t xml:space="preserve"> RColorBrewer  * 1.1-3   2022-04-03 [1] CRAN (R 4.2.0)</w:t>
      </w:r>
      <w:r>
        <w:br/>
      </w:r>
      <w:r>
        <w:rPr>
          <w:rStyle w:val="VerbatimChar"/>
        </w:rPr>
        <w:t xml:space="preserve"> Rcpp            1.0.9   2022-07-08 [1] CRAN (R 4.2.0)</w:t>
      </w:r>
      <w:r>
        <w:br/>
      </w:r>
      <w:r>
        <w:rPr>
          <w:rStyle w:val="VerbatimChar"/>
        </w:rPr>
        <w:t xml:space="preserve"> readr         * 2.1.3   2022-10-01 [1] CRAN (R 4.2.0)</w:t>
      </w:r>
      <w:r>
        <w:br/>
      </w:r>
      <w:r>
        <w:rPr>
          <w:rStyle w:val="VerbatimChar"/>
        </w:rPr>
        <w:t xml:space="preserve"> readxl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2.18    2022-11-09 [1] CRAN (R 4.2.0)</w:t>
      </w:r>
      <w:r>
        <w:br/>
      </w:r>
      <w:r>
        <w:rPr>
          <w:rStyle w:val="VerbatimChar"/>
        </w:rPr>
        <w:t xml:space="preserve"> robustbase      0.95-0  2022-04-02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1.7.3   2022-10-25 [1] CRAN (R 4.2.0)</w:t>
      </w:r>
      <w:r>
        <w:br/>
      </w:r>
      <w:r>
        <w:rPr>
          <w:rStyle w:val="VerbatimChar"/>
        </w:rPr>
        <w:t xml:space="preserve"> sp            * 1.5-1   2022-11-07 [1] CRAN (R 4.2.0)</w:t>
      </w:r>
      <w:r>
        <w:br/>
      </w:r>
      <w:r>
        <w:rPr>
          <w:rStyle w:val="VerbatimChar"/>
        </w:rPr>
        <w:t xml:space="preserve"> stringi         1.7.8   2022-07-11 [1] CRAN (R 4.2.0)</w:t>
      </w:r>
      <w:r>
        <w:br/>
      </w:r>
      <w:r>
        <w:rPr>
          <w:rStyle w:val="VerbatimChar"/>
        </w:rPr>
        <w:t xml:space="preserve"> stringr       * 1.5.0   2022-12-02 [1] CRAN (R 4.2.0)</w:t>
      </w:r>
      <w:r>
        <w:br/>
      </w:r>
      <w:r>
        <w:rPr>
          <w:rStyle w:val="VerbatimChar"/>
        </w:rPr>
        <w:t xml:space="preserve"> terra           1.6-47  2022-12-02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timechange      0.1.1   2022-11-04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0.5.1   2022-11-16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0.35    2022-11-16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[b4cc910] 2023-01-25: commit to merge</w:t>
      </w:r>
    </w:p>
    <w:bookmarkEnd w:id="160"/>
    <w:bookmarkEnd w:id="161"/>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25" Target="media/rId25.png" /><Relationship Type="http://schemas.openxmlformats.org/officeDocument/2006/relationships/image" Id="rId52" Target="media/rId52.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31" Target="media/rId31.png" /><Relationship Type="http://schemas.openxmlformats.org/officeDocument/2006/relationships/hyperlink" Id="rId154" Target="https://doi.org/10.1098/rsfs.2016.0142" TargetMode="External" /><Relationship Type="http://schemas.openxmlformats.org/officeDocument/2006/relationships/hyperlink" Id="rId135"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54" Target="https://doi.org/10.1098/rsfs.2016.0142" TargetMode="External" /><Relationship Type="http://schemas.openxmlformats.org/officeDocument/2006/relationships/hyperlink" Id="rId135"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2023-01-25T22:30:30Z</dcterms:created>
  <dcterms:modified xsi:type="dcterms:W3CDTF">2023-01-25T22:30:30Z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selective combinations of guided variation and indirect bias over time. Some attributes including length and width were transmitted with less variation while other attributes appear to have more variation. Our results suggest that the dominant mode of cultural transmission for the earliest stemmed points was guided variation and then indirect bias was adapted to carry out the technological change. We assume that individuals or groups developed stemmed points by experimenting with existing blade technologies and then copied crucial part of a successful model to ensure the quality to optimize tool usage. As a result, the shape of stemmed points became standardized among their social groups.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January 25,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